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D7" w:rsidRDefault="00FD7355">
      <w:pPr>
        <w:rPr>
          <w:lang w:val="de-CH"/>
        </w:rPr>
      </w:pPr>
      <w:r>
        <w:rPr>
          <w:lang w:val="de-CH"/>
        </w:rPr>
        <w:t xml:space="preserve">((Kapiteltrenner </w:t>
      </w:r>
      <w:r w:rsidR="008C3A7D">
        <w:rPr>
          <w:lang w:val="de-CH"/>
        </w:rPr>
        <w:t>Energie</w:t>
      </w:r>
      <w:r>
        <w:rPr>
          <w:lang w:val="de-CH"/>
        </w:rPr>
        <w:t>))</w:t>
      </w:r>
    </w:p>
    <w:p w:rsidR="00FD7355" w:rsidRDefault="00FD7355">
      <w:pPr>
        <w:rPr>
          <w:lang w:val="de-CH"/>
        </w:rPr>
      </w:pPr>
    </w:p>
    <w:p w:rsidR="00FD7355" w:rsidRDefault="00FD7355">
      <w:pPr>
        <w:rPr>
          <w:lang w:val="de-CH"/>
        </w:rPr>
      </w:pPr>
      <w:r>
        <w:rPr>
          <w:lang w:val="de-CH"/>
        </w:rPr>
        <w:t>((aussen))</w:t>
      </w:r>
    </w:p>
    <w:p w:rsidR="00FD7355" w:rsidRDefault="00FD7355">
      <w:pPr>
        <w:rPr>
          <w:lang w:val="de-CH"/>
        </w:rPr>
      </w:pPr>
    </w:p>
    <w:p w:rsidR="008C3A7D" w:rsidRPr="008C3A7D" w:rsidRDefault="008871BA">
      <w:pPr>
        <w:rPr>
          <w:b/>
          <w:lang w:val="de-CH"/>
        </w:rPr>
      </w:pPr>
      <w:r>
        <w:rPr>
          <w:b/>
          <w:lang w:val="de-CH"/>
        </w:rPr>
        <w:t>Energie</w:t>
      </w:r>
      <w:bookmarkStart w:id="0" w:name="_GoBack"/>
      <w:bookmarkEnd w:id="0"/>
    </w:p>
    <w:p w:rsidR="00FD7355" w:rsidRDefault="00FD7355">
      <w:pPr>
        <w:rPr>
          <w:lang w:val="de-CH"/>
        </w:rPr>
      </w:pPr>
    </w:p>
    <w:p w:rsidR="008C3A7D" w:rsidRDefault="008C3A7D">
      <w:pPr>
        <w:rPr>
          <w:lang w:val="de-CH"/>
        </w:rPr>
      </w:pPr>
      <w:r>
        <w:rPr>
          <w:lang w:val="de-CH"/>
        </w:rPr>
        <w:t xml:space="preserve">Mit der Energiestrategie 2050 hat sich die Schweiz </w:t>
      </w:r>
      <w:r w:rsidR="00DF0D09">
        <w:rPr>
          <w:lang w:val="de-CH"/>
        </w:rPr>
        <w:t xml:space="preserve">das </w:t>
      </w:r>
      <w:r>
        <w:rPr>
          <w:lang w:val="de-CH"/>
        </w:rPr>
        <w:t xml:space="preserve">Ziel gesetzt, den Energieverbrauch zu senken, die Energieeffizienz zu erhöhen und </w:t>
      </w:r>
      <w:r w:rsidR="00AB186E">
        <w:rPr>
          <w:lang w:val="de-CH"/>
        </w:rPr>
        <w:t xml:space="preserve">erneuerbare Energien zu fördern. Auch der Ausstieg aus der Kernenergie gehört </w:t>
      </w:r>
      <w:r w:rsidR="00984BFF">
        <w:rPr>
          <w:lang w:val="de-CH"/>
        </w:rPr>
        <w:t>dazu</w:t>
      </w:r>
      <w:r w:rsidR="00AB186E">
        <w:rPr>
          <w:lang w:val="de-CH"/>
        </w:rPr>
        <w:t>.</w:t>
      </w:r>
      <w:r>
        <w:rPr>
          <w:lang w:val="de-CH"/>
        </w:rPr>
        <w:t xml:space="preserve"> </w:t>
      </w:r>
      <w:r w:rsidR="00AB186E">
        <w:rPr>
          <w:lang w:val="de-CH"/>
        </w:rPr>
        <w:t>Das Energiesystem der Zukunft muss bezahlbar, sicher und umweltfreundlich sein – und alle Bedürfnisse abdecken: Wärme, Strom und Mobilität. Die Empa forscht an neuen Materialen und Systemen, mit denen Energie bereitgestellt, umgewandelt und kurz- und langfristig gespeichert werden kann, damit sie dann bereitsteht, w</w:t>
      </w:r>
      <w:r w:rsidR="00984BFF">
        <w:rPr>
          <w:lang w:val="de-CH"/>
        </w:rPr>
        <w:t>e</w:t>
      </w:r>
      <w:r w:rsidR="00AB186E">
        <w:rPr>
          <w:lang w:val="de-CH"/>
        </w:rPr>
        <w:t xml:space="preserve">nn sie benötigt wird. </w:t>
      </w:r>
      <w:r w:rsidR="00984BFF">
        <w:rPr>
          <w:lang w:val="de-CH"/>
        </w:rPr>
        <w:t xml:space="preserve">Der Fokus liegt beispielsweise auf </w:t>
      </w:r>
      <w:r w:rsidR="00AB186E">
        <w:rPr>
          <w:lang w:val="de-CH"/>
        </w:rPr>
        <w:t>noch effizientere</w:t>
      </w:r>
      <w:r w:rsidR="00984BFF">
        <w:rPr>
          <w:lang w:val="de-CH"/>
        </w:rPr>
        <w:t>n</w:t>
      </w:r>
      <w:r w:rsidR="00AB186E">
        <w:rPr>
          <w:lang w:val="de-CH"/>
        </w:rPr>
        <w:t xml:space="preserve"> Photovoltaikanlagen, Batterie- und Wärmespeicher</w:t>
      </w:r>
      <w:r w:rsidR="00984BFF">
        <w:rPr>
          <w:lang w:val="de-CH"/>
        </w:rPr>
        <w:t>n</w:t>
      </w:r>
      <w:r w:rsidR="00AB186E">
        <w:rPr>
          <w:lang w:val="de-CH"/>
        </w:rPr>
        <w:t>, Technologien und intelligente</w:t>
      </w:r>
      <w:r w:rsidR="00984BFF">
        <w:rPr>
          <w:lang w:val="de-CH"/>
        </w:rPr>
        <w:t>n</w:t>
      </w:r>
      <w:r w:rsidR="00AB186E">
        <w:rPr>
          <w:lang w:val="de-CH"/>
        </w:rPr>
        <w:t xml:space="preserve"> Algorithmen, um den Energieverbrauch zu verringern, </w:t>
      </w:r>
      <w:r w:rsidR="00984BFF">
        <w:rPr>
          <w:lang w:val="de-CH"/>
        </w:rPr>
        <w:t xml:space="preserve">sowie auf </w:t>
      </w:r>
      <w:r w:rsidR="00AB186E">
        <w:rPr>
          <w:lang w:val="de-CH"/>
        </w:rPr>
        <w:t>Mobilitätsstrategien</w:t>
      </w:r>
      <w:r w:rsidR="001E6649">
        <w:rPr>
          <w:lang w:val="de-CH"/>
        </w:rPr>
        <w:t>, mit denen der CO</w:t>
      </w:r>
      <w:r w:rsidR="001E6649" w:rsidRPr="008669CA">
        <w:rPr>
          <w:vertAlign w:val="subscript"/>
          <w:lang w:val="de-CH"/>
        </w:rPr>
        <w:t>2</w:t>
      </w:r>
      <w:r w:rsidR="001E6649">
        <w:rPr>
          <w:lang w:val="de-CH"/>
        </w:rPr>
        <w:t>-Ausstoss massiv verringert werden kann.</w:t>
      </w:r>
    </w:p>
    <w:p w:rsidR="00AB186E" w:rsidRDefault="001E6649">
      <w:pPr>
        <w:rPr>
          <w:lang w:val="de-CH"/>
        </w:rPr>
      </w:pPr>
      <w:r>
        <w:rPr>
          <w:lang w:val="de-CH"/>
        </w:rPr>
        <w:t>Die</w:t>
      </w:r>
      <w:r w:rsidR="00AB186E">
        <w:rPr>
          <w:lang w:val="de-CH"/>
        </w:rPr>
        <w:t xml:space="preserve"> beiden Demonstratoren move und ehub</w:t>
      </w:r>
      <w:r>
        <w:rPr>
          <w:lang w:val="de-CH"/>
        </w:rPr>
        <w:t xml:space="preserve"> auf dem Empa-Gelände bieten den Forschenden und externen Partnern die Gelegenheit zu zeigen, wie Mobilität und Energieversorgung im Quartier </w:t>
      </w:r>
      <w:r w:rsidR="00984BFF">
        <w:rPr>
          <w:lang w:val="de-CH"/>
        </w:rPr>
        <w:t>künftig</w:t>
      </w:r>
      <w:r>
        <w:rPr>
          <w:lang w:val="de-CH"/>
        </w:rPr>
        <w:t xml:space="preserve"> funktionieren könnte</w:t>
      </w:r>
      <w:r w:rsidR="00984BFF">
        <w:rPr>
          <w:lang w:val="de-CH"/>
        </w:rPr>
        <w:t>n</w:t>
      </w:r>
      <w:r>
        <w:rPr>
          <w:lang w:val="de-CH"/>
        </w:rPr>
        <w:t xml:space="preserve"> – ohne fossile Energie.</w:t>
      </w:r>
    </w:p>
    <w:p w:rsidR="00FD7355" w:rsidRDefault="00FD7355">
      <w:pPr>
        <w:rPr>
          <w:lang w:val="de-CH"/>
        </w:rPr>
      </w:pPr>
    </w:p>
    <w:p w:rsidR="001169B1" w:rsidRDefault="001169B1">
      <w:pPr>
        <w:rPr>
          <w:lang w:val="de-CH"/>
        </w:rPr>
      </w:pPr>
      <w:r>
        <w:rPr>
          <w:lang w:val="de-CH"/>
        </w:rPr>
        <w:t>((Mitte))</w:t>
      </w:r>
    </w:p>
    <w:p w:rsidR="001169B1" w:rsidRDefault="001169B1">
      <w:pPr>
        <w:rPr>
          <w:b/>
          <w:lang w:val="de-CH"/>
        </w:rPr>
      </w:pPr>
      <w:r w:rsidRPr="001169B1">
        <w:rPr>
          <w:b/>
          <w:lang w:val="de-CH"/>
        </w:rPr>
        <w:t>Herausforderungen für die Energieversorgung der Zukunft</w:t>
      </w:r>
    </w:p>
    <w:p w:rsidR="001169B1" w:rsidRDefault="001169B1">
      <w:pPr>
        <w:rPr>
          <w:b/>
          <w:lang w:val="de-CH"/>
        </w:rPr>
      </w:pPr>
    </w:p>
    <w:p w:rsidR="001169B1" w:rsidRDefault="001169B1">
      <w:pPr>
        <w:rPr>
          <w:b/>
          <w:lang w:val="de-CH"/>
        </w:rPr>
      </w:pPr>
    </w:p>
    <w:tbl>
      <w:tblPr>
        <w:tblStyle w:val="Tabellenraster"/>
        <w:tblW w:w="0" w:type="auto"/>
        <w:tblLook w:val="04A0" w:firstRow="1" w:lastRow="0" w:firstColumn="1" w:lastColumn="0" w:noHBand="0" w:noVBand="1"/>
      </w:tblPr>
      <w:tblGrid>
        <w:gridCol w:w="4531"/>
        <w:gridCol w:w="4531"/>
      </w:tblGrid>
      <w:tr w:rsidR="001169B1" w:rsidTr="001169B1">
        <w:tc>
          <w:tcPr>
            <w:tcW w:w="4531" w:type="dxa"/>
          </w:tcPr>
          <w:p w:rsidR="001169B1" w:rsidRPr="001169B1" w:rsidRDefault="001169B1" w:rsidP="001169B1">
            <w:pPr>
              <w:rPr>
                <w:lang w:val="de-CH"/>
              </w:rPr>
            </w:pPr>
            <w:r w:rsidRPr="001169B1">
              <w:rPr>
                <w:lang w:val="de-CH"/>
              </w:rPr>
              <w:t>Energieverbrauch verringern</w:t>
            </w:r>
          </w:p>
          <w:p w:rsidR="001169B1" w:rsidRDefault="001169B1">
            <w:pPr>
              <w:rPr>
                <w:b/>
                <w:lang w:val="de-CH"/>
              </w:rPr>
            </w:pPr>
          </w:p>
        </w:tc>
        <w:tc>
          <w:tcPr>
            <w:tcW w:w="4531" w:type="dxa"/>
          </w:tcPr>
          <w:p w:rsidR="001169B1" w:rsidRDefault="001169B1">
            <w:pPr>
              <w:rPr>
                <w:b/>
                <w:lang w:val="de-CH"/>
              </w:rPr>
            </w:pPr>
            <w:r w:rsidRPr="001169B1">
              <w:rPr>
                <w:b/>
                <w:noProof/>
              </w:rPr>
              <w:drawing>
                <wp:inline distT="0" distB="0" distL="0" distR="0" wp14:anchorId="2A2F74E2" wp14:editId="79A3C47C">
                  <wp:extent cx="2210216" cy="1990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8934" cy="1998577"/>
                          </a:xfrm>
                          <a:prstGeom prst="rect">
                            <a:avLst/>
                          </a:prstGeom>
                        </pic:spPr>
                      </pic:pic>
                    </a:graphicData>
                  </a:graphic>
                </wp:inline>
              </w:drawing>
            </w:r>
          </w:p>
        </w:tc>
      </w:tr>
      <w:tr w:rsidR="001169B1" w:rsidTr="001169B1">
        <w:tc>
          <w:tcPr>
            <w:tcW w:w="4531" w:type="dxa"/>
          </w:tcPr>
          <w:p w:rsidR="001169B1" w:rsidRPr="009612E5" w:rsidRDefault="001169B1">
            <w:pPr>
              <w:rPr>
                <w:lang w:val="de-CH"/>
              </w:rPr>
            </w:pPr>
            <w:r w:rsidRPr="009612E5">
              <w:rPr>
                <w:lang w:val="de-CH"/>
              </w:rPr>
              <w:lastRenderedPageBreak/>
              <w:t>Umstellen auf erneuerbare Energie</w:t>
            </w:r>
          </w:p>
        </w:tc>
        <w:tc>
          <w:tcPr>
            <w:tcW w:w="4531" w:type="dxa"/>
          </w:tcPr>
          <w:p w:rsidR="001169B1" w:rsidRDefault="001169B1">
            <w:pPr>
              <w:rPr>
                <w:b/>
                <w:lang w:val="de-CH"/>
              </w:rPr>
            </w:pPr>
            <w:r w:rsidRPr="001169B1">
              <w:rPr>
                <w:b/>
                <w:noProof/>
              </w:rPr>
              <w:drawing>
                <wp:inline distT="0" distB="0" distL="0" distR="0" wp14:anchorId="7CA6119A" wp14:editId="09FE39CF">
                  <wp:extent cx="2028825" cy="201025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6949" cy="2018305"/>
                          </a:xfrm>
                          <a:prstGeom prst="rect">
                            <a:avLst/>
                          </a:prstGeom>
                        </pic:spPr>
                      </pic:pic>
                    </a:graphicData>
                  </a:graphic>
                </wp:inline>
              </w:drawing>
            </w:r>
          </w:p>
        </w:tc>
      </w:tr>
      <w:tr w:rsidR="001169B1" w:rsidTr="001169B1">
        <w:tc>
          <w:tcPr>
            <w:tcW w:w="4531" w:type="dxa"/>
          </w:tcPr>
          <w:p w:rsidR="001169B1" w:rsidRPr="009612E5" w:rsidRDefault="009612E5">
            <w:pPr>
              <w:rPr>
                <w:lang w:val="de-CH"/>
              </w:rPr>
            </w:pPr>
            <w:r w:rsidRPr="009612E5">
              <w:rPr>
                <w:lang w:val="de-CH"/>
              </w:rPr>
              <w:t>Speicher für Elektrizität und Wärme</w:t>
            </w:r>
          </w:p>
        </w:tc>
        <w:tc>
          <w:tcPr>
            <w:tcW w:w="4531" w:type="dxa"/>
          </w:tcPr>
          <w:p w:rsidR="001169B1" w:rsidRDefault="009612E5">
            <w:pPr>
              <w:rPr>
                <w:b/>
                <w:lang w:val="de-CH"/>
              </w:rPr>
            </w:pPr>
            <w:r w:rsidRPr="009612E5">
              <w:rPr>
                <w:b/>
                <w:noProof/>
              </w:rPr>
              <w:drawing>
                <wp:inline distT="0" distB="0" distL="0" distR="0" wp14:anchorId="08B6219A" wp14:editId="248DF4D2">
                  <wp:extent cx="2232840" cy="1990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1643" cy="1998573"/>
                          </a:xfrm>
                          <a:prstGeom prst="rect">
                            <a:avLst/>
                          </a:prstGeom>
                        </pic:spPr>
                      </pic:pic>
                    </a:graphicData>
                  </a:graphic>
                </wp:inline>
              </w:drawing>
            </w:r>
          </w:p>
        </w:tc>
      </w:tr>
      <w:tr w:rsidR="001169B1" w:rsidTr="001169B1">
        <w:tc>
          <w:tcPr>
            <w:tcW w:w="4531" w:type="dxa"/>
          </w:tcPr>
          <w:p w:rsidR="001169B1" w:rsidRPr="009612E5" w:rsidRDefault="009612E5">
            <w:pPr>
              <w:rPr>
                <w:lang w:val="de-CH"/>
              </w:rPr>
            </w:pPr>
            <w:r w:rsidRPr="009612E5">
              <w:rPr>
                <w:lang w:val="de-CH"/>
              </w:rPr>
              <w:t>Umweltfreundliche Mobilität</w:t>
            </w:r>
          </w:p>
        </w:tc>
        <w:tc>
          <w:tcPr>
            <w:tcW w:w="4531" w:type="dxa"/>
          </w:tcPr>
          <w:p w:rsidR="001169B1" w:rsidRDefault="009612E5">
            <w:pPr>
              <w:rPr>
                <w:b/>
                <w:lang w:val="de-CH"/>
              </w:rPr>
            </w:pPr>
            <w:r w:rsidRPr="009612E5">
              <w:rPr>
                <w:b/>
                <w:noProof/>
              </w:rPr>
              <w:drawing>
                <wp:inline distT="0" distB="0" distL="0" distR="0" wp14:anchorId="7685D712" wp14:editId="2E1E2CA5">
                  <wp:extent cx="2411345" cy="235267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7877" cy="2359048"/>
                          </a:xfrm>
                          <a:prstGeom prst="rect">
                            <a:avLst/>
                          </a:prstGeom>
                        </pic:spPr>
                      </pic:pic>
                    </a:graphicData>
                  </a:graphic>
                </wp:inline>
              </w:drawing>
            </w:r>
          </w:p>
        </w:tc>
      </w:tr>
    </w:tbl>
    <w:p w:rsidR="001169B1" w:rsidRDefault="001169B1">
      <w:pPr>
        <w:rPr>
          <w:b/>
          <w:lang w:val="de-CH"/>
        </w:rPr>
      </w:pPr>
    </w:p>
    <w:p w:rsidR="001169B1" w:rsidRPr="001169B1" w:rsidRDefault="001169B1">
      <w:pPr>
        <w:rPr>
          <w:b/>
          <w:lang w:val="de-CH"/>
        </w:rPr>
      </w:pPr>
    </w:p>
    <w:p w:rsidR="001169B1" w:rsidRDefault="001169B1">
      <w:pPr>
        <w:rPr>
          <w:lang w:val="de-CH"/>
        </w:rPr>
      </w:pPr>
    </w:p>
    <w:p w:rsidR="001169B1" w:rsidRDefault="001169B1">
      <w:pPr>
        <w:rPr>
          <w:lang w:val="de-CH"/>
        </w:rPr>
      </w:pPr>
    </w:p>
    <w:p w:rsidR="00FD7355" w:rsidRPr="001169B1" w:rsidRDefault="00FD7355" w:rsidP="00FD7355">
      <w:pPr>
        <w:autoSpaceDE w:val="0"/>
        <w:autoSpaceDN w:val="0"/>
        <w:adjustRightInd w:val="0"/>
        <w:spacing w:beforeLines="60" w:before="144" w:afterLines="60" w:after="144"/>
        <w:rPr>
          <w:rFonts w:asciiTheme="minorHAnsi" w:hAnsiTheme="minorHAnsi" w:cstheme="minorHAnsi"/>
          <w:lang w:val="de-CH"/>
        </w:rPr>
      </w:pPr>
      <w:r w:rsidRPr="001169B1">
        <w:rPr>
          <w:rFonts w:asciiTheme="minorHAnsi" w:hAnsiTheme="minorHAnsi" w:cstheme="minorHAnsi"/>
          <w:lang w:val="de-CH"/>
        </w:rPr>
        <w:t>((innen))</w:t>
      </w:r>
    </w:p>
    <w:p w:rsidR="00FD7355" w:rsidRPr="001169B1" w:rsidRDefault="00FD7355" w:rsidP="00FD7355">
      <w:pPr>
        <w:autoSpaceDE w:val="0"/>
        <w:autoSpaceDN w:val="0"/>
        <w:adjustRightInd w:val="0"/>
        <w:spacing w:beforeLines="60" w:before="144" w:afterLines="60" w:after="144"/>
        <w:rPr>
          <w:rFonts w:asciiTheme="minorHAnsi" w:hAnsiTheme="minorHAnsi" w:cstheme="minorHAnsi"/>
          <w:lang w:val="de-CH"/>
        </w:rPr>
      </w:pPr>
      <w:r w:rsidRPr="001169B1">
        <w:rPr>
          <w:rFonts w:asciiTheme="minorHAnsi" w:hAnsiTheme="minorHAnsi" w:cstheme="minorHAnsi"/>
          <w:lang w:val="de-CH"/>
        </w:rPr>
        <w:t>((links))</w:t>
      </w: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Effizientere Solarzellen von der Rolle</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lastRenderedPageBreak/>
        <w:t xml:space="preserve">Flexible Dünnschicht-Solarzellen ermöglichen es, Photovoltaik auch auf gewölbten Flächen zu integrieren – etwa auf Dächern, Elektroflugzeugen oder Drohnen. Die Empa forscht an Solarzellen auf Kupfer-Indium-Gallium-Diselenid-Basis, sogenannte CIGS-Solarzellen. Den Forschenden gelang es, ihren eigenen Effizienz-Weltrekord mehrfach brechen, der zurzeit bei </w:t>
      </w:r>
      <w:r w:rsidR="00984BFF" w:rsidRPr="001169B1">
        <w:rPr>
          <w:rFonts w:asciiTheme="minorHAnsi" w:hAnsiTheme="minorHAnsi" w:cstheme="minorHAnsi"/>
          <w:lang w:val="de-CH"/>
        </w:rPr>
        <w:t>einem</w:t>
      </w:r>
      <w:r w:rsidRPr="001169B1">
        <w:rPr>
          <w:rFonts w:asciiTheme="minorHAnsi" w:hAnsiTheme="minorHAnsi" w:cstheme="minorHAnsi"/>
          <w:lang w:val="de-CH"/>
        </w:rPr>
        <w:t xml:space="preserve"> Wirkungsgrad </w:t>
      </w:r>
      <w:r w:rsidR="00984BFF" w:rsidRPr="001169B1">
        <w:rPr>
          <w:rFonts w:asciiTheme="minorHAnsi" w:hAnsiTheme="minorHAnsi" w:cstheme="minorHAnsi"/>
          <w:lang w:val="de-CH"/>
        </w:rPr>
        <w:t xml:space="preserve">von 20,8 Prozent </w:t>
      </w:r>
      <w:r w:rsidRPr="001169B1">
        <w:rPr>
          <w:rFonts w:asciiTheme="minorHAnsi" w:hAnsiTheme="minorHAnsi" w:cstheme="minorHAnsi"/>
          <w:lang w:val="de-CH"/>
        </w:rPr>
        <w:t xml:space="preserve">liegt. Zudem entwickelten sie ein Rolle-zu-Rolle-Herstellungsverfahren, um die Dünnschicht-Solarmodule kostengünstig </w:t>
      </w:r>
      <w:r w:rsidR="00DF0D09" w:rsidRPr="001169B1">
        <w:rPr>
          <w:rFonts w:asciiTheme="minorHAnsi" w:hAnsiTheme="minorHAnsi" w:cstheme="minorHAnsi"/>
          <w:lang w:val="de-CH"/>
        </w:rPr>
        <w:t xml:space="preserve">zu </w:t>
      </w:r>
      <w:r w:rsidR="00984BFF" w:rsidRPr="001169B1">
        <w:rPr>
          <w:rFonts w:asciiTheme="minorHAnsi" w:hAnsiTheme="minorHAnsi" w:cstheme="minorHAnsi"/>
          <w:lang w:val="de-CH"/>
        </w:rPr>
        <w:t>produzieren</w:t>
      </w:r>
      <w:r w:rsidRPr="001169B1">
        <w:rPr>
          <w:rFonts w:asciiTheme="minorHAnsi" w:hAnsiTheme="minorHAnsi" w:cstheme="minorHAnsi"/>
          <w:lang w:val="de-CH"/>
        </w:rPr>
        <w:t>.</w:t>
      </w:r>
    </w:p>
    <w:p w:rsidR="00FD7355" w:rsidRPr="001169B1" w:rsidRDefault="00FD7355" w:rsidP="00FD7355">
      <w:pPr>
        <w:autoSpaceDE w:val="0"/>
        <w:autoSpaceDN w:val="0"/>
        <w:adjustRightInd w:val="0"/>
        <w:rPr>
          <w:rFonts w:asciiTheme="minorHAnsi" w:hAnsiTheme="minorHAnsi" w:cstheme="minorHAnsi"/>
          <w:lang w:val="de-CH"/>
        </w:rPr>
      </w:pP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Nachhaltige Mobilität</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 xml:space="preserve">Die Energie für Fahrzeuge soll künftig nicht mehr aus fossilen, sondern aus erneuerbaren Quellen stammen. </w:t>
      </w:r>
      <w:r w:rsidR="00984BFF" w:rsidRPr="001169B1">
        <w:rPr>
          <w:rFonts w:asciiTheme="minorHAnsi" w:hAnsiTheme="minorHAnsi" w:cstheme="minorHAnsi"/>
          <w:lang w:val="de-CH"/>
        </w:rPr>
        <w:t>Neben der eigentlichen Elektromobilität eröffnet auch d</w:t>
      </w:r>
      <w:r w:rsidRPr="001169B1">
        <w:rPr>
          <w:rFonts w:asciiTheme="minorHAnsi" w:hAnsiTheme="minorHAnsi" w:cstheme="minorHAnsi"/>
          <w:lang w:val="de-CH"/>
        </w:rPr>
        <w:t>ie Umwandlung erneuerbarer elektrischer Energie in speicherbare und CO</w:t>
      </w:r>
      <w:r w:rsidRPr="001169B1">
        <w:rPr>
          <w:rFonts w:asciiTheme="minorHAnsi" w:hAnsiTheme="minorHAnsi" w:cstheme="minorHAnsi"/>
          <w:vertAlign w:val="subscript"/>
          <w:lang w:val="de-CH"/>
        </w:rPr>
        <w:t>2</w:t>
      </w:r>
      <w:r w:rsidRPr="001169B1">
        <w:rPr>
          <w:rFonts w:asciiTheme="minorHAnsi" w:hAnsiTheme="minorHAnsi" w:cstheme="minorHAnsi"/>
          <w:lang w:val="de-CH"/>
        </w:rPr>
        <w:t>-arme Energieträger wie Wasserstoff oder Methan grosse Chance</w:t>
      </w:r>
      <w:r w:rsidR="00984BFF" w:rsidRPr="001169B1">
        <w:rPr>
          <w:rFonts w:asciiTheme="minorHAnsi" w:hAnsiTheme="minorHAnsi" w:cstheme="minorHAnsi"/>
          <w:lang w:val="de-CH"/>
        </w:rPr>
        <w:t>n</w:t>
      </w:r>
      <w:r w:rsidRPr="001169B1">
        <w:rPr>
          <w:rFonts w:asciiTheme="minorHAnsi" w:hAnsiTheme="minorHAnsi" w:cstheme="minorHAnsi"/>
          <w:lang w:val="de-CH"/>
        </w:rPr>
        <w:t xml:space="preserve">. Im move, dem Demonstrator für die Mobilität der Zukunft, zeigt die Empa gemeinsam mit Partnern aus Forschung, Wirtschaft und </w:t>
      </w:r>
      <w:r w:rsidR="00984BFF" w:rsidRPr="001169B1">
        <w:rPr>
          <w:rFonts w:asciiTheme="minorHAnsi" w:hAnsiTheme="minorHAnsi" w:cstheme="minorHAnsi"/>
          <w:lang w:val="de-CH"/>
        </w:rPr>
        <w:t xml:space="preserve">dem </w:t>
      </w:r>
      <w:r w:rsidRPr="001169B1">
        <w:rPr>
          <w:rFonts w:asciiTheme="minorHAnsi" w:hAnsiTheme="minorHAnsi" w:cstheme="minorHAnsi"/>
          <w:lang w:val="de-CH"/>
        </w:rPr>
        <w:t>öffentliche</w:t>
      </w:r>
      <w:r w:rsidR="00984BFF" w:rsidRPr="001169B1">
        <w:rPr>
          <w:rFonts w:asciiTheme="minorHAnsi" w:hAnsiTheme="minorHAnsi" w:cstheme="minorHAnsi"/>
          <w:lang w:val="de-CH"/>
        </w:rPr>
        <w:t>n</w:t>
      </w:r>
      <w:r w:rsidRPr="001169B1">
        <w:rPr>
          <w:rFonts w:asciiTheme="minorHAnsi" w:hAnsiTheme="minorHAnsi" w:cstheme="minorHAnsi"/>
          <w:lang w:val="de-CH"/>
        </w:rPr>
        <w:t xml:space="preserve"> </w:t>
      </w:r>
      <w:r w:rsidR="00984BFF" w:rsidRPr="001169B1">
        <w:rPr>
          <w:rFonts w:asciiTheme="minorHAnsi" w:hAnsiTheme="minorHAnsi" w:cstheme="minorHAnsi"/>
          <w:lang w:val="de-CH"/>
        </w:rPr>
        <w:t xml:space="preserve">Sektor </w:t>
      </w:r>
      <w:r w:rsidRPr="001169B1">
        <w:rPr>
          <w:rFonts w:asciiTheme="minorHAnsi" w:hAnsiTheme="minorHAnsi" w:cstheme="minorHAnsi"/>
          <w:lang w:val="de-CH"/>
        </w:rPr>
        <w:t>ganz praktisch, wie sich überschüssige erneuerbare Energie für die Mobilität nutzen lässt – in Form von Wasserstoff, Biogas und in Netzbatterien.</w:t>
      </w:r>
    </w:p>
    <w:p w:rsidR="00FD7355" w:rsidRPr="001169B1" w:rsidRDefault="00FD7355" w:rsidP="00FD7355">
      <w:pPr>
        <w:autoSpaceDE w:val="0"/>
        <w:autoSpaceDN w:val="0"/>
        <w:adjustRightInd w:val="0"/>
        <w:rPr>
          <w:rFonts w:asciiTheme="minorHAnsi" w:hAnsiTheme="minorHAnsi" w:cstheme="minorHAnsi"/>
          <w:lang w:val="de-CH"/>
        </w:rPr>
      </w:pP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Saisonaler Wärmespeicher</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 xml:space="preserve">Die sommerliche Wärme bis in den Winter hinein speichern: Damit liessen sich Gebäude fossilfrei heizen. Ein Empa-Forschungsprojekt konnte zeigen, dass Natronlauge eine preisgünstige und zuverlässige Methode für die saisonale Wärmespeicherung ist. Führt man verdünnter Natronlaufe Energie in Form von Wärme zu, so verdampft das Wasser, die Natronlauge konzentriert sich und speichert auf diese Weise </w:t>
      </w:r>
      <w:r w:rsidR="00CF0B63" w:rsidRPr="001169B1">
        <w:rPr>
          <w:rFonts w:asciiTheme="minorHAnsi" w:hAnsiTheme="minorHAnsi" w:cstheme="minorHAnsi"/>
          <w:lang w:val="de-CH"/>
        </w:rPr>
        <w:t xml:space="preserve">langfristig die </w:t>
      </w:r>
      <w:r w:rsidRPr="001169B1">
        <w:rPr>
          <w:rFonts w:asciiTheme="minorHAnsi" w:hAnsiTheme="minorHAnsi" w:cstheme="minorHAnsi"/>
          <w:lang w:val="de-CH"/>
        </w:rPr>
        <w:t>ihr zugeführte Energie. Giesst man umgekehrt Wasser auf konzentrierte Natronlauge, wird die Mischung heiss, gibt also Wärme ab. Im Winter kann diese Reaktion genutzt werden, um beispielsweise Wasser für die Heizung oder die Dusche aufzuwärmen.</w:t>
      </w:r>
    </w:p>
    <w:p w:rsidR="00FD7355" w:rsidRPr="001169B1" w:rsidRDefault="00FD7355" w:rsidP="00FD7355">
      <w:pPr>
        <w:autoSpaceDE w:val="0"/>
        <w:autoSpaceDN w:val="0"/>
        <w:adjustRightInd w:val="0"/>
        <w:rPr>
          <w:rFonts w:asciiTheme="minorHAnsi" w:hAnsiTheme="minorHAnsi" w:cstheme="minorHAnsi"/>
          <w:lang w:val="de-CH"/>
        </w:rPr>
      </w:pP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((rechts))</w:t>
      </w: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Energie im Flug</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 xml:space="preserve">Der Wind bläst in mehreren </w:t>
      </w:r>
      <w:r w:rsidR="00CF0B63" w:rsidRPr="001169B1">
        <w:rPr>
          <w:rFonts w:asciiTheme="minorHAnsi" w:hAnsiTheme="minorHAnsi" w:cstheme="minorHAnsi"/>
          <w:lang w:val="de-CH"/>
        </w:rPr>
        <w:t>H</w:t>
      </w:r>
      <w:r w:rsidRPr="001169B1">
        <w:rPr>
          <w:rFonts w:asciiTheme="minorHAnsi" w:hAnsiTheme="minorHAnsi" w:cstheme="minorHAnsi"/>
          <w:lang w:val="de-CH"/>
        </w:rPr>
        <w:t xml:space="preserve">undert </w:t>
      </w:r>
      <w:r w:rsidR="00CF0B63" w:rsidRPr="001169B1">
        <w:rPr>
          <w:rFonts w:asciiTheme="minorHAnsi" w:hAnsiTheme="minorHAnsi" w:cstheme="minorHAnsi"/>
          <w:lang w:val="de-CH"/>
        </w:rPr>
        <w:t xml:space="preserve">Metern </w:t>
      </w:r>
      <w:r w:rsidRPr="001169B1">
        <w:rPr>
          <w:rFonts w:asciiTheme="minorHAnsi" w:hAnsiTheme="minorHAnsi" w:cstheme="minorHAnsi"/>
          <w:lang w:val="de-CH"/>
        </w:rPr>
        <w:t>Höhe st</w:t>
      </w:r>
      <w:r w:rsidR="00CF0B63" w:rsidRPr="001169B1">
        <w:rPr>
          <w:rFonts w:asciiTheme="minorHAnsi" w:hAnsiTheme="minorHAnsi" w:cstheme="minorHAnsi"/>
          <w:lang w:val="de-CH"/>
        </w:rPr>
        <w:t>ä</w:t>
      </w:r>
      <w:r w:rsidRPr="001169B1">
        <w:rPr>
          <w:rFonts w:asciiTheme="minorHAnsi" w:hAnsiTheme="minorHAnsi" w:cstheme="minorHAnsi"/>
          <w:lang w:val="de-CH"/>
        </w:rPr>
        <w:t xml:space="preserve">rker und konstanter als in Bodennähe. Das Empa-Spin-Off Twingtec will diese Energie </w:t>
      </w:r>
      <w:r w:rsidR="00DF0D09" w:rsidRPr="001169B1">
        <w:rPr>
          <w:rFonts w:cs="Segoe UI"/>
          <w:lang w:val="de-CH"/>
        </w:rPr>
        <w:t>«</w:t>
      </w:r>
      <w:r w:rsidRPr="001169B1">
        <w:rPr>
          <w:rFonts w:asciiTheme="minorHAnsi" w:hAnsiTheme="minorHAnsi" w:cstheme="minorHAnsi"/>
          <w:lang w:val="de-CH"/>
        </w:rPr>
        <w:t>ernten</w:t>
      </w:r>
      <w:r w:rsidR="00DF0D09" w:rsidRPr="001169B1">
        <w:rPr>
          <w:rFonts w:cs="Segoe UI"/>
          <w:lang w:val="de-CH"/>
        </w:rPr>
        <w:t>»</w:t>
      </w:r>
      <w:r w:rsidRPr="001169B1">
        <w:rPr>
          <w:rFonts w:asciiTheme="minorHAnsi" w:hAnsiTheme="minorHAnsi" w:cstheme="minorHAnsi"/>
          <w:lang w:val="de-CH"/>
        </w:rPr>
        <w:t>. Dazu nutz</w:t>
      </w:r>
      <w:r w:rsidR="00CF0B63" w:rsidRPr="001169B1">
        <w:rPr>
          <w:rFonts w:asciiTheme="minorHAnsi" w:hAnsiTheme="minorHAnsi" w:cstheme="minorHAnsi"/>
          <w:lang w:val="de-CH"/>
        </w:rPr>
        <w:t xml:space="preserve">t es </w:t>
      </w:r>
      <w:r w:rsidRPr="001169B1">
        <w:rPr>
          <w:rFonts w:asciiTheme="minorHAnsi" w:hAnsiTheme="minorHAnsi" w:cstheme="minorHAnsi"/>
          <w:lang w:val="de-CH"/>
        </w:rPr>
        <w:t xml:space="preserve">statt einem stationären Windrad einen Flugdrachen, der </w:t>
      </w:r>
      <w:r w:rsidR="00CF0B63" w:rsidRPr="001169B1">
        <w:rPr>
          <w:rFonts w:asciiTheme="minorHAnsi" w:hAnsiTheme="minorHAnsi" w:cstheme="minorHAnsi"/>
          <w:lang w:val="de-CH"/>
        </w:rPr>
        <w:t>durch ein</w:t>
      </w:r>
      <w:r w:rsidRPr="001169B1">
        <w:rPr>
          <w:rFonts w:asciiTheme="minorHAnsi" w:hAnsiTheme="minorHAnsi" w:cstheme="minorHAnsi"/>
          <w:lang w:val="de-CH"/>
        </w:rPr>
        <w:t xml:space="preserve"> Seil mit der Bodenstation verbunden ist. Der Drache schraubt sich in Kreisbahnen in die Höhe und zieht dabei </w:t>
      </w:r>
      <w:r w:rsidR="00CF0B63" w:rsidRPr="001169B1">
        <w:rPr>
          <w:rFonts w:asciiTheme="minorHAnsi" w:hAnsiTheme="minorHAnsi" w:cstheme="minorHAnsi"/>
          <w:lang w:val="de-CH"/>
        </w:rPr>
        <w:t xml:space="preserve">das </w:t>
      </w:r>
      <w:r w:rsidRPr="001169B1">
        <w:rPr>
          <w:rFonts w:asciiTheme="minorHAnsi" w:hAnsiTheme="minorHAnsi" w:cstheme="minorHAnsi"/>
          <w:lang w:val="de-CH"/>
        </w:rPr>
        <w:t xml:space="preserve">Seil von einer Rolle. </w:t>
      </w:r>
      <w:r w:rsidR="00CF0B63" w:rsidRPr="001169B1">
        <w:rPr>
          <w:rFonts w:asciiTheme="minorHAnsi" w:hAnsiTheme="minorHAnsi" w:cstheme="minorHAnsi"/>
          <w:lang w:val="de-CH"/>
        </w:rPr>
        <w:t>Diese</w:t>
      </w:r>
      <w:r w:rsidRPr="001169B1">
        <w:rPr>
          <w:rFonts w:asciiTheme="minorHAnsi" w:hAnsiTheme="minorHAnsi" w:cstheme="minorHAnsi"/>
          <w:lang w:val="de-CH"/>
        </w:rPr>
        <w:t xml:space="preserve"> dreht sich und wirkt dabei als Stromgenerator. Dann sinkt der Drache wieder und das Seil wird aufgespult – der Zyklus kann von neuem beginnen.</w:t>
      </w:r>
    </w:p>
    <w:p w:rsidR="00FD7355" w:rsidRPr="001169B1" w:rsidRDefault="00FD7355" w:rsidP="00FD7355">
      <w:pPr>
        <w:autoSpaceDE w:val="0"/>
        <w:autoSpaceDN w:val="0"/>
        <w:adjustRightInd w:val="0"/>
        <w:rPr>
          <w:rFonts w:asciiTheme="minorHAnsi" w:hAnsiTheme="minorHAnsi" w:cstheme="minorHAnsi"/>
          <w:b/>
          <w:lang w:val="de-CH"/>
        </w:rPr>
      </w:pP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Sicher</w:t>
      </w:r>
      <w:r w:rsidR="00CF0B63" w:rsidRPr="001169B1">
        <w:rPr>
          <w:rFonts w:asciiTheme="minorHAnsi" w:hAnsiTheme="minorHAnsi" w:cstheme="minorHAnsi"/>
          <w:b/>
          <w:lang w:val="de-CH"/>
        </w:rPr>
        <w:t>e</w:t>
      </w:r>
      <w:r w:rsidRPr="001169B1">
        <w:rPr>
          <w:rFonts w:asciiTheme="minorHAnsi" w:hAnsiTheme="minorHAnsi" w:cstheme="minorHAnsi"/>
          <w:b/>
          <w:lang w:val="de-CH"/>
        </w:rPr>
        <w:t xml:space="preserve"> Batteriespeicher</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Elektrische Energie, die aus unregelmässige</w:t>
      </w:r>
      <w:r w:rsidR="00CF0B63" w:rsidRPr="001169B1">
        <w:rPr>
          <w:rFonts w:asciiTheme="minorHAnsi" w:hAnsiTheme="minorHAnsi" w:cstheme="minorHAnsi"/>
          <w:lang w:val="de-CH"/>
        </w:rPr>
        <w:t>n</w:t>
      </w:r>
      <w:r w:rsidRPr="001169B1">
        <w:rPr>
          <w:rFonts w:asciiTheme="minorHAnsi" w:hAnsiTheme="minorHAnsi" w:cstheme="minorHAnsi"/>
          <w:lang w:val="de-CH"/>
        </w:rPr>
        <w:t xml:space="preserve"> Quellen wie Sonnenlicht oder Wind gewonnen wird, benötigt Speicher, damit sie dann genutzt werden kann, wenn </w:t>
      </w:r>
      <w:r w:rsidR="00CF0B63" w:rsidRPr="001169B1">
        <w:rPr>
          <w:rFonts w:asciiTheme="minorHAnsi" w:hAnsiTheme="minorHAnsi" w:cstheme="minorHAnsi"/>
          <w:lang w:val="de-CH"/>
        </w:rPr>
        <w:t>sie gebraucht wird</w:t>
      </w:r>
      <w:r w:rsidRPr="001169B1">
        <w:rPr>
          <w:rFonts w:asciiTheme="minorHAnsi" w:hAnsiTheme="minorHAnsi" w:cstheme="minorHAnsi"/>
          <w:lang w:val="de-CH"/>
        </w:rPr>
        <w:t xml:space="preserve">. Ein besonders vielversprechender Batterietyp für stationäre Speicher sind Salzwasserbatterien: Sie nutzen </w:t>
      </w:r>
      <w:r w:rsidR="00CF0B63" w:rsidRPr="001169B1">
        <w:rPr>
          <w:rFonts w:asciiTheme="minorHAnsi" w:hAnsiTheme="minorHAnsi" w:cstheme="minorHAnsi"/>
          <w:lang w:val="de-CH"/>
        </w:rPr>
        <w:t xml:space="preserve">Natriumsalz, das </w:t>
      </w:r>
      <w:r w:rsidRPr="001169B1">
        <w:rPr>
          <w:rFonts w:asciiTheme="minorHAnsi" w:hAnsiTheme="minorHAnsi" w:cstheme="minorHAnsi"/>
          <w:lang w:val="de-CH"/>
        </w:rPr>
        <w:t>als Elektrolyt in Wasser gelöst</w:t>
      </w:r>
      <w:r w:rsidR="00CF0B63" w:rsidRPr="001169B1">
        <w:rPr>
          <w:rFonts w:asciiTheme="minorHAnsi" w:hAnsiTheme="minorHAnsi" w:cstheme="minorHAnsi"/>
          <w:lang w:val="de-CH"/>
        </w:rPr>
        <w:t xml:space="preserve"> ist – </w:t>
      </w:r>
      <w:r w:rsidRPr="001169B1">
        <w:rPr>
          <w:rFonts w:asciiTheme="minorHAnsi" w:hAnsiTheme="minorHAnsi" w:cstheme="minorHAnsi"/>
          <w:lang w:val="de-CH"/>
        </w:rPr>
        <w:t>nicht brennbare und nahezu unbegrenzt verfügbare Stoffe. Empa-Forsche</w:t>
      </w:r>
      <w:r w:rsidR="00CF0B63" w:rsidRPr="001169B1">
        <w:rPr>
          <w:rFonts w:asciiTheme="minorHAnsi" w:hAnsiTheme="minorHAnsi" w:cstheme="minorHAnsi"/>
          <w:lang w:val="de-CH"/>
        </w:rPr>
        <w:t>nde</w:t>
      </w:r>
      <w:r w:rsidRPr="001169B1">
        <w:rPr>
          <w:rFonts w:asciiTheme="minorHAnsi" w:hAnsiTheme="minorHAnsi" w:cstheme="minorHAnsi"/>
          <w:lang w:val="de-CH"/>
        </w:rPr>
        <w:t xml:space="preserve"> arbeiten daran, die Spannung der Zelle mit speziellen, hochlöslichen Natriumsalzen so weit zu erhöhen, dass die Salzwasserbatterien </w:t>
      </w:r>
      <w:r w:rsidR="00D77422" w:rsidRPr="001169B1">
        <w:rPr>
          <w:rFonts w:asciiTheme="minorHAnsi" w:hAnsiTheme="minorHAnsi" w:cstheme="minorHAnsi"/>
          <w:lang w:val="de-CH"/>
        </w:rPr>
        <w:t xml:space="preserve">bezüglich Energiedichte </w:t>
      </w:r>
      <w:r w:rsidR="009D4C40" w:rsidRPr="001169B1">
        <w:rPr>
          <w:rFonts w:asciiTheme="minorHAnsi" w:hAnsiTheme="minorHAnsi" w:cstheme="minorHAnsi"/>
          <w:lang w:val="de-CH"/>
        </w:rPr>
        <w:t>zu den</w:t>
      </w:r>
      <w:r w:rsidR="00CF0B63" w:rsidRPr="001169B1">
        <w:rPr>
          <w:rFonts w:asciiTheme="minorHAnsi" w:hAnsiTheme="minorHAnsi" w:cstheme="minorHAnsi"/>
          <w:lang w:val="de-CH"/>
        </w:rPr>
        <w:t xml:space="preserve"> </w:t>
      </w:r>
      <w:r w:rsidRPr="001169B1">
        <w:rPr>
          <w:rFonts w:asciiTheme="minorHAnsi" w:hAnsiTheme="minorHAnsi" w:cstheme="minorHAnsi"/>
          <w:lang w:val="de-CH"/>
        </w:rPr>
        <w:t xml:space="preserve">Lithium-Ionen-Batterien </w:t>
      </w:r>
      <w:r w:rsidR="009D4C40" w:rsidRPr="001169B1">
        <w:rPr>
          <w:rFonts w:asciiTheme="minorHAnsi" w:hAnsiTheme="minorHAnsi" w:cstheme="minorHAnsi"/>
          <w:lang w:val="de-CH"/>
        </w:rPr>
        <w:t>aufschliessen</w:t>
      </w:r>
      <w:r w:rsidR="00D77422" w:rsidRPr="001169B1">
        <w:rPr>
          <w:rFonts w:asciiTheme="minorHAnsi" w:hAnsiTheme="minorHAnsi" w:cstheme="minorHAnsi"/>
          <w:lang w:val="de-CH"/>
        </w:rPr>
        <w:t xml:space="preserve"> und so </w:t>
      </w:r>
      <w:r w:rsidRPr="001169B1">
        <w:rPr>
          <w:rFonts w:asciiTheme="minorHAnsi" w:hAnsiTheme="minorHAnsi" w:cstheme="minorHAnsi"/>
          <w:lang w:val="de-CH"/>
        </w:rPr>
        <w:t xml:space="preserve">eine sichere, günstige und umweltfreundliche Alternative </w:t>
      </w:r>
      <w:r w:rsidR="009D4C40" w:rsidRPr="001169B1">
        <w:rPr>
          <w:rFonts w:asciiTheme="minorHAnsi" w:hAnsiTheme="minorHAnsi" w:cstheme="minorHAnsi"/>
          <w:lang w:val="de-CH"/>
        </w:rPr>
        <w:t>bieten.</w:t>
      </w:r>
    </w:p>
    <w:p w:rsidR="00FD7355" w:rsidRPr="001169B1" w:rsidRDefault="00FD7355" w:rsidP="00FD7355">
      <w:pPr>
        <w:autoSpaceDE w:val="0"/>
        <w:autoSpaceDN w:val="0"/>
        <w:adjustRightInd w:val="0"/>
        <w:rPr>
          <w:rFonts w:asciiTheme="minorHAnsi" w:hAnsiTheme="minorHAnsi" w:cstheme="minorHAnsi"/>
          <w:b/>
          <w:lang w:val="de-CH"/>
        </w:rPr>
      </w:pPr>
    </w:p>
    <w:p w:rsidR="00FD7355" w:rsidRPr="001169B1" w:rsidRDefault="00FD7355" w:rsidP="00FD7355">
      <w:pPr>
        <w:autoSpaceDE w:val="0"/>
        <w:autoSpaceDN w:val="0"/>
        <w:adjustRightInd w:val="0"/>
        <w:rPr>
          <w:rFonts w:asciiTheme="minorHAnsi" w:hAnsiTheme="minorHAnsi" w:cstheme="minorHAnsi"/>
          <w:b/>
          <w:lang w:val="de-CH"/>
        </w:rPr>
      </w:pPr>
      <w:r w:rsidRPr="001169B1">
        <w:rPr>
          <w:rFonts w:asciiTheme="minorHAnsi" w:hAnsiTheme="minorHAnsi" w:cstheme="minorHAnsi"/>
          <w:b/>
          <w:lang w:val="de-CH"/>
        </w:rPr>
        <w:t>Energiesysteme im Quartier</w:t>
      </w:r>
    </w:p>
    <w:p w:rsidR="00FD7355" w:rsidRPr="001169B1" w:rsidRDefault="00FD7355" w:rsidP="00FD7355">
      <w:pPr>
        <w:autoSpaceDE w:val="0"/>
        <w:autoSpaceDN w:val="0"/>
        <w:adjustRightInd w:val="0"/>
        <w:rPr>
          <w:rFonts w:asciiTheme="minorHAnsi" w:hAnsiTheme="minorHAnsi" w:cstheme="minorHAnsi"/>
          <w:lang w:val="de-CH"/>
        </w:rPr>
      </w:pPr>
      <w:r w:rsidRPr="001169B1">
        <w:rPr>
          <w:rFonts w:asciiTheme="minorHAnsi" w:hAnsiTheme="minorHAnsi" w:cstheme="minorHAnsi"/>
          <w:lang w:val="de-CH"/>
        </w:rPr>
        <w:t xml:space="preserve">Einzelne Bestandteile wie Batterien, Solarzellen oder Wasserstofffahrzeuge sind wichtig für die nachhaltige Energiezukunft – doch ein entscheidendes Puzzleteil ist, wie die erneuerbaren Energiequellen, Speichermöglichkeiten und Verbraucher zusammenspielen. Im </w:t>
      </w:r>
      <w:r w:rsidR="00D77422" w:rsidRPr="001169B1">
        <w:rPr>
          <w:rFonts w:asciiTheme="minorHAnsi" w:hAnsiTheme="minorHAnsi" w:cstheme="minorHAnsi"/>
          <w:lang w:val="de-CH"/>
        </w:rPr>
        <w:t xml:space="preserve">ehub, dem </w:t>
      </w:r>
      <w:r w:rsidRPr="001169B1">
        <w:rPr>
          <w:rFonts w:asciiTheme="minorHAnsi" w:hAnsiTheme="minorHAnsi" w:cstheme="minorHAnsi"/>
          <w:lang w:val="de-CH"/>
        </w:rPr>
        <w:t>Energiedemonstrator der Empa, koppeln die Forschenden Energieflüsse im Mobilitäts-, Wohn- und Arbeitsbereich, testen neue Energiekonzepte in der Praxis und loten aus, wie sich die Energieeffizienz steigern und der CO</w:t>
      </w:r>
      <w:r w:rsidRPr="001169B1">
        <w:rPr>
          <w:rFonts w:asciiTheme="minorHAnsi" w:hAnsiTheme="minorHAnsi" w:cstheme="minorHAnsi"/>
          <w:vertAlign w:val="subscript"/>
          <w:lang w:val="de-CH"/>
        </w:rPr>
        <w:t>2</w:t>
      </w:r>
      <w:r w:rsidRPr="001169B1">
        <w:rPr>
          <w:rFonts w:asciiTheme="minorHAnsi" w:hAnsiTheme="minorHAnsi" w:cstheme="minorHAnsi"/>
          <w:lang w:val="de-CH"/>
        </w:rPr>
        <w:t>-Ausstoss reduzieren lässt.</w:t>
      </w:r>
    </w:p>
    <w:p w:rsidR="00FD7355" w:rsidRPr="00FD7355" w:rsidRDefault="00FD7355">
      <w:pPr>
        <w:spacing w:beforeLines="60" w:before="144" w:afterLines="60" w:after="144"/>
        <w:rPr>
          <w:rFonts w:asciiTheme="minorHAnsi" w:hAnsiTheme="minorHAnsi" w:cstheme="minorHAnsi"/>
          <w:lang w:val="de-CH"/>
        </w:rPr>
      </w:pPr>
    </w:p>
    <w:sectPr w:rsidR="00FD7355" w:rsidRPr="00FD7355">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21" w:rsidRDefault="00664B21" w:rsidP="00FD7355">
      <w:pPr>
        <w:spacing w:before="0" w:after="0" w:line="240" w:lineRule="auto"/>
      </w:pPr>
      <w:r>
        <w:separator/>
      </w:r>
    </w:p>
  </w:endnote>
  <w:endnote w:type="continuationSeparator" w:id="0">
    <w:p w:rsidR="00664B21" w:rsidRDefault="00664B21" w:rsidP="00FD73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69272534"/>
      <w:docPartObj>
        <w:docPartGallery w:val="Page Numbers (Bottom of Page)"/>
        <w:docPartUnique/>
      </w:docPartObj>
    </w:sdtPr>
    <w:sdtEndPr>
      <w:rPr>
        <w:rStyle w:val="Seitenzahl"/>
      </w:rPr>
    </w:sdtEndPr>
    <w:sdtContent>
      <w:p w:rsidR="00FD7355" w:rsidRDefault="00FD7355" w:rsidP="00E032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D7355" w:rsidRDefault="00FD7355" w:rsidP="00FD73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32588441"/>
      <w:docPartObj>
        <w:docPartGallery w:val="Page Numbers (Bottom of Page)"/>
        <w:docPartUnique/>
      </w:docPartObj>
    </w:sdtPr>
    <w:sdtEndPr>
      <w:rPr>
        <w:rStyle w:val="Seitenzahl"/>
      </w:rPr>
    </w:sdtEndPr>
    <w:sdtContent>
      <w:p w:rsidR="00FD7355" w:rsidRDefault="00FD7355" w:rsidP="00E032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871BA">
          <w:rPr>
            <w:rStyle w:val="Seitenzahl"/>
            <w:noProof/>
          </w:rPr>
          <w:t>1</w:t>
        </w:r>
        <w:r>
          <w:rPr>
            <w:rStyle w:val="Seitenzahl"/>
          </w:rPr>
          <w:fldChar w:fldCharType="end"/>
        </w:r>
      </w:p>
    </w:sdtContent>
  </w:sdt>
  <w:p w:rsidR="00FD7355" w:rsidRDefault="00FD7355" w:rsidP="00FD735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21" w:rsidRDefault="00664B21" w:rsidP="00FD7355">
      <w:pPr>
        <w:spacing w:before="0" w:after="0" w:line="240" w:lineRule="auto"/>
      </w:pPr>
      <w:r>
        <w:separator/>
      </w:r>
    </w:p>
  </w:footnote>
  <w:footnote w:type="continuationSeparator" w:id="0">
    <w:p w:rsidR="00664B21" w:rsidRDefault="00664B21" w:rsidP="00FD73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onsecutiveHyphenLimit w:val="3"/>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7D"/>
    <w:rsid w:val="001169B1"/>
    <w:rsid w:val="001E6649"/>
    <w:rsid w:val="0026689C"/>
    <w:rsid w:val="00266AD7"/>
    <w:rsid w:val="003B0FB6"/>
    <w:rsid w:val="0045765B"/>
    <w:rsid w:val="005B470D"/>
    <w:rsid w:val="00664B21"/>
    <w:rsid w:val="00741CBC"/>
    <w:rsid w:val="008669CA"/>
    <w:rsid w:val="008871BA"/>
    <w:rsid w:val="008C3A7D"/>
    <w:rsid w:val="009005EC"/>
    <w:rsid w:val="009612E5"/>
    <w:rsid w:val="00984BFF"/>
    <w:rsid w:val="009D4C40"/>
    <w:rsid w:val="00A304CA"/>
    <w:rsid w:val="00AB186E"/>
    <w:rsid w:val="00C46352"/>
    <w:rsid w:val="00CD391D"/>
    <w:rsid w:val="00CF0B63"/>
    <w:rsid w:val="00D77422"/>
    <w:rsid w:val="00DF0D09"/>
    <w:rsid w:val="00E717D1"/>
    <w:rsid w:val="00FC7F8F"/>
    <w:rsid w:val="00FD73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7BE2"/>
  <w15:chartTrackingRefBased/>
  <w15:docId w15:val="{4802D60A-3C33-4DD2-8FC7-92FA4E18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lang w:val="en-US"/>
    </w:r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Fuzeile">
    <w:name w:val="footer"/>
    <w:basedOn w:val="Standard"/>
    <w:link w:val="FuzeileZchn"/>
    <w:uiPriority w:val="99"/>
    <w:unhideWhenUsed/>
    <w:rsid w:val="00FD735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7355"/>
    <w:rPr>
      <w:lang w:val="en-US"/>
    </w:rPr>
  </w:style>
  <w:style w:type="character" w:styleId="Seitenzahl">
    <w:name w:val="page number"/>
    <w:basedOn w:val="Absatz-Standardschriftart"/>
    <w:uiPriority w:val="99"/>
    <w:semiHidden/>
    <w:unhideWhenUsed/>
    <w:rsid w:val="00FD7355"/>
  </w:style>
  <w:style w:type="paragraph" w:styleId="Sprechblasentext">
    <w:name w:val="Balloon Text"/>
    <w:basedOn w:val="Standard"/>
    <w:link w:val="SprechblasentextZchn"/>
    <w:uiPriority w:val="99"/>
    <w:semiHidden/>
    <w:unhideWhenUsed/>
    <w:rsid w:val="00984BFF"/>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984BFF"/>
    <w:rPr>
      <w:rFonts w:ascii="Times New Roman" w:hAnsi="Times New Roman"/>
      <w:sz w:val="18"/>
      <w:szCs w:val="18"/>
      <w:lang w:val="en-US"/>
    </w:rPr>
  </w:style>
  <w:style w:type="table" w:styleId="Tabellenraster">
    <w:name w:val="Table Grid"/>
    <w:basedOn w:val="NormaleTabelle"/>
    <w:uiPriority w:val="59"/>
    <w:rsid w:val="00116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849D-13D6-421B-89BA-9875442A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Weinmann, Karin</dc:creator>
  <cp:keywords/>
  <dc:description/>
  <cp:lastModifiedBy>Weinmann, Karin</cp:lastModifiedBy>
  <cp:revision>5</cp:revision>
  <cp:lastPrinted>2019-12-11T10:55:00Z</cp:lastPrinted>
  <dcterms:created xsi:type="dcterms:W3CDTF">2019-12-11T17:20:00Z</dcterms:created>
  <dcterms:modified xsi:type="dcterms:W3CDTF">2019-12-13T09:03:00Z</dcterms:modified>
</cp:coreProperties>
</file>