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06" w:rsidRPr="008D410D" w:rsidRDefault="00A57C66" w:rsidP="008D410D">
      <w:pPr>
        <w:suppressAutoHyphens/>
        <w:spacing w:before="0" w:after="120" w:line="360" w:lineRule="auto"/>
        <w:rPr>
          <w:b/>
          <w:bCs/>
          <w:sz w:val="32"/>
          <w:szCs w:val="32"/>
        </w:rPr>
      </w:pPr>
      <w:r w:rsidRPr="008D410D">
        <w:rPr>
          <w:b/>
          <w:bCs/>
          <w:sz w:val="32"/>
          <w:szCs w:val="32"/>
        </w:rPr>
        <w:t xml:space="preserve">Ringstrukturen, die sich </w:t>
      </w:r>
      <w:r w:rsidR="008D410D">
        <w:rPr>
          <w:b/>
          <w:bCs/>
          <w:sz w:val="32"/>
          <w:szCs w:val="32"/>
        </w:rPr>
        <w:t xml:space="preserve">von </w:t>
      </w:r>
      <w:r w:rsidRPr="008D410D">
        <w:rPr>
          <w:b/>
          <w:bCs/>
          <w:sz w:val="32"/>
          <w:szCs w:val="32"/>
        </w:rPr>
        <w:t>selber bilden</w:t>
      </w:r>
    </w:p>
    <w:p w:rsidR="001F6306" w:rsidRPr="008D410D" w:rsidRDefault="00A57C66" w:rsidP="008D410D">
      <w:pPr>
        <w:suppressAutoHyphens/>
        <w:spacing w:before="0" w:after="120" w:line="360" w:lineRule="auto"/>
      </w:pPr>
      <w:r w:rsidRPr="008D410D">
        <w:t>«</w:t>
      </w:r>
      <w:r w:rsidR="00696DAE">
        <w:t xml:space="preserve">Wir </w:t>
      </w:r>
      <w:r w:rsidR="006A3C4E">
        <w:t>produzieren</w:t>
      </w:r>
      <w:r w:rsidR="00696DAE">
        <w:t xml:space="preserve"> schöne, </w:t>
      </w:r>
      <w:proofErr w:type="spellStart"/>
      <w:r w:rsidR="00696DAE">
        <w:t>regelmässige</w:t>
      </w:r>
      <w:proofErr w:type="spellEnd"/>
      <w:r w:rsidR="00696DAE">
        <w:t xml:space="preserve"> </w:t>
      </w:r>
      <w:r w:rsidR="006A3C4E">
        <w:t>Mikrom</w:t>
      </w:r>
      <w:r w:rsidR="00696DAE">
        <w:t>uster – ohne Stift, Pinsel oder Drucker</w:t>
      </w:r>
      <w:r w:rsidR="00F95FE7" w:rsidRPr="008D410D">
        <w:t>»</w:t>
      </w:r>
      <w:r w:rsidR="008D410D">
        <w:t>,</w:t>
      </w:r>
      <w:r w:rsidR="00F95FE7" w:rsidRPr="008D410D">
        <w:t xml:space="preserve"> sagt</w:t>
      </w:r>
      <w:r w:rsidRPr="008D410D">
        <w:t xml:space="preserve"> Empa-Wissenschaftlerin Rita Toth. Gemeinsam mit Kollegen der Universität Basel und der </w:t>
      </w:r>
      <w:r w:rsidR="008D410D">
        <w:t>«</w:t>
      </w:r>
      <w:r w:rsidRPr="008D410D">
        <w:t xml:space="preserve">University </w:t>
      </w:r>
      <w:proofErr w:type="spellStart"/>
      <w:r w:rsidRPr="008D410D">
        <w:t>of</w:t>
      </w:r>
      <w:proofErr w:type="spellEnd"/>
      <w:r w:rsidRPr="008D410D">
        <w:t xml:space="preserve"> Technology </w:t>
      </w:r>
      <w:proofErr w:type="spellStart"/>
      <w:r w:rsidRPr="008D410D">
        <w:t>and</w:t>
      </w:r>
      <w:proofErr w:type="spellEnd"/>
      <w:r w:rsidRPr="008D410D">
        <w:t xml:space="preserve"> Economics</w:t>
      </w:r>
      <w:r w:rsidR="008D410D">
        <w:t>»</w:t>
      </w:r>
      <w:r w:rsidRPr="008D410D">
        <w:t xml:space="preserve"> in Budapest hat sie chemische </w:t>
      </w:r>
      <w:r w:rsidR="006A3C4E">
        <w:t>Vorgänge</w:t>
      </w:r>
      <w:r w:rsidRPr="008D410D">
        <w:t xml:space="preserve"> untersucht, die ganz von </w:t>
      </w:r>
      <w:r w:rsidR="006A3C4E">
        <w:t>alleine</w:t>
      </w:r>
      <w:r w:rsidRPr="008D410D">
        <w:t xml:space="preserve"> mikroskopisch kleine</w:t>
      </w:r>
      <w:r w:rsidR="006A3C4E">
        <w:t>, konzentrische Rings</w:t>
      </w:r>
      <w:r w:rsidRPr="008D410D">
        <w:t xml:space="preserve">trukturen </w:t>
      </w:r>
      <w:r w:rsidR="006A3C4E">
        <w:t>ausbilden.</w:t>
      </w:r>
      <w:r w:rsidRPr="008D410D">
        <w:t xml:space="preserve"> </w:t>
      </w:r>
      <w:r w:rsidR="006A3C4E">
        <w:t xml:space="preserve">Damit </w:t>
      </w:r>
      <w:proofErr w:type="spellStart"/>
      <w:r w:rsidR="006A3C4E">
        <w:t>liessen</w:t>
      </w:r>
      <w:proofErr w:type="spellEnd"/>
      <w:r w:rsidR="006A3C4E">
        <w:t xml:space="preserve"> sich zum Beispiel  Fresnel-Linsen herstellen, die früher in Leuchttürmen das Licht bündelten und heute – als Mikro-Bauteil – in der Glasfaser-Datenübertragung sehr nützlich sind. Die selbstentstehenden Mikroringe könnte man auch nutzen, um</w:t>
      </w:r>
      <w:r w:rsidR="008D410D">
        <w:t xml:space="preserve"> Katalysatoro</w:t>
      </w:r>
      <w:r w:rsidRPr="008D410D">
        <w:t xml:space="preserve">berflächen </w:t>
      </w:r>
      <w:proofErr w:type="spellStart"/>
      <w:r w:rsidRPr="008D410D">
        <w:t>gleichmässiger</w:t>
      </w:r>
      <w:proofErr w:type="spellEnd"/>
      <w:r w:rsidRPr="008D410D">
        <w:t xml:space="preserve"> und wirkungsvoller zu beschichten.</w:t>
      </w:r>
    </w:p>
    <w:p w:rsidR="001F6306" w:rsidRPr="008D410D" w:rsidRDefault="00A57C66" w:rsidP="008D410D">
      <w:pPr>
        <w:suppressAutoHyphens/>
        <w:spacing w:before="0" w:after="120" w:line="360" w:lineRule="auto"/>
      </w:pPr>
      <w:r w:rsidRPr="008D410D">
        <w:t>Die chemische Basis für die selbstbildenden Ringstrukturen sind die so</w:t>
      </w:r>
      <w:r w:rsidR="008D410D">
        <w:t xml:space="preserve"> </w:t>
      </w:r>
      <w:r w:rsidRPr="008D410D">
        <w:t xml:space="preserve">genannten </w:t>
      </w:r>
      <w:proofErr w:type="spellStart"/>
      <w:r w:rsidRPr="008D410D">
        <w:t>Liesegangschen</w:t>
      </w:r>
      <w:proofErr w:type="spellEnd"/>
      <w:r w:rsidRPr="008D410D">
        <w:t xml:space="preserve"> Ringe, benannt nach dem deutschen Chemiker und Fotopapier</w:t>
      </w:r>
      <w:r w:rsidR="008D410D">
        <w:t>f</w:t>
      </w:r>
      <w:r w:rsidRPr="008D410D">
        <w:t xml:space="preserve">abrikanten Raphael </w:t>
      </w:r>
      <w:proofErr w:type="spellStart"/>
      <w:r w:rsidRPr="008D410D">
        <w:t>Liesegang</w:t>
      </w:r>
      <w:proofErr w:type="spellEnd"/>
      <w:r w:rsidRPr="008D410D">
        <w:t>, der sie 1896 erstmals beschrieb. Danach begann auch sein berühm</w:t>
      </w:r>
      <w:r w:rsidR="0024638B" w:rsidRPr="008D410D">
        <w:t>ter Zeitgenosse Wilhelm Ostwald</w:t>
      </w:r>
      <w:r w:rsidR="008D410D">
        <w:t xml:space="preserve"> die Ringe zu untersuchen. </w:t>
      </w:r>
      <w:r w:rsidRPr="008D410D">
        <w:t xml:space="preserve">Mit modernsten Analysemethoden hat </w:t>
      </w:r>
      <w:r w:rsidR="008D410D">
        <w:t xml:space="preserve">nun </w:t>
      </w:r>
      <w:r w:rsidRPr="008D410D">
        <w:t xml:space="preserve">die </w:t>
      </w:r>
      <w:r w:rsidR="008D410D">
        <w:t>Empa-</w:t>
      </w:r>
      <w:r w:rsidRPr="008D410D">
        <w:t xml:space="preserve">Forschungsgruppe in </w:t>
      </w:r>
      <w:r w:rsidR="008D410D">
        <w:t>ihren Labors und am Synchrotron-</w:t>
      </w:r>
      <w:r w:rsidRPr="008D410D">
        <w:t>Beschleuniger des Paul Scherrer Institut</w:t>
      </w:r>
      <w:r w:rsidR="008D410D">
        <w:t>s</w:t>
      </w:r>
      <w:r w:rsidRPr="008D410D">
        <w:t xml:space="preserve"> den bislang </w:t>
      </w:r>
      <w:r w:rsidR="008D410D">
        <w:t>noch immer nicht gänzlich verstandenen</w:t>
      </w:r>
      <w:r w:rsidRPr="008D410D">
        <w:t xml:space="preserve"> Entstehungsprozess der </w:t>
      </w:r>
      <w:proofErr w:type="spellStart"/>
      <w:r w:rsidRPr="008D410D">
        <w:t>Liesegangschen</w:t>
      </w:r>
      <w:proofErr w:type="spellEnd"/>
      <w:r w:rsidRPr="008D410D">
        <w:t xml:space="preserve"> Ringe im Detail untersucht und dabei Unerwartetes entdeckt: Toth und ihre Kollegen </w:t>
      </w:r>
      <w:r w:rsidR="00F95FE7" w:rsidRPr="008D410D">
        <w:t>beobachteten</w:t>
      </w:r>
      <w:r w:rsidRPr="008D410D">
        <w:t xml:space="preserve">, dass sich die </w:t>
      </w:r>
      <w:proofErr w:type="spellStart"/>
      <w:r w:rsidRPr="008D410D">
        <w:t>Grösse</w:t>
      </w:r>
      <w:proofErr w:type="spellEnd"/>
      <w:r w:rsidRPr="008D410D">
        <w:t xml:space="preserve"> der Ringe durch eine Veränderung der Chemie nahezu beliebig </w:t>
      </w:r>
      <w:r w:rsidR="008D410D">
        <w:t>einstellen</w:t>
      </w:r>
      <w:r w:rsidRPr="008D410D">
        <w:t xml:space="preserve"> lässt. </w:t>
      </w:r>
      <w:r w:rsidR="00696DAE">
        <w:t xml:space="preserve">Abstände zwischen den Ringen </w:t>
      </w:r>
      <w:r w:rsidRPr="008D410D">
        <w:t xml:space="preserve">von einem Tausendstel bis zu einem hundertstel Millimeter sind möglich. Bemerkenswert ist dabei, dass sich die Ringe voneinander unabhängig formieren. Die Wissenschaftler konnten erstmals </w:t>
      </w:r>
      <w:r w:rsidR="00696DAE">
        <w:t>erklären</w:t>
      </w:r>
      <w:r w:rsidRPr="008D410D">
        <w:t xml:space="preserve">, nach welchen Prinzipien sich </w:t>
      </w:r>
      <w:proofErr w:type="spellStart"/>
      <w:r w:rsidRPr="008D410D">
        <w:t>Liese</w:t>
      </w:r>
      <w:r w:rsidR="008D410D">
        <w:t>gang</w:t>
      </w:r>
      <w:proofErr w:type="spellEnd"/>
      <w:r w:rsidR="008D410D">
        <w:t>-</w:t>
      </w:r>
      <w:r w:rsidRPr="008D410D">
        <w:t>Ringe bilden</w:t>
      </w:r>
      <w:r w:rsidR="00696DAE">
        <w:t>. Die Bildung geschieht nach der sogenannten Cahn-</w:t>
      </w:r>
      <w:proofErr w:type="spellStart"/>
      <w:r w:rsidR="00696DAE">
        <w:t>Hillard</w:t>
      </w:r>
      <w:proofErr w:type="spellEnd"/>
      <w:r w:rsidR="00696DAE">
        <w:t>-Dynamik, die eine voranschreitende Front einer chemischen Reaktion</w:t>
      </w:r>
      <w:r w:rsidR="006A3C4E">
        <w:t xml:space="preserve"> </w:t>
      </w:r>
      <w:r w:rsidR="00696DAE">
        <w:t xml:space="preserve">beschreibt. Hinter der Front </w:t>
      </w:r>
      <w:r w:rsidR="00595F1A" w:rsidRPr="00595F1A">
        <w:t>bildet sich homogener Niederschlag, der sich periodisch anordnet</w:t>
      </w:r>
      <w:r w:rsidR="00595F1A">
        <w:t xml:space="preserve"> </w:t>
      </w:r>
      <w:r w:rsidR="00696DAE">
        <w:t xml:space="preserve">– die sichtbaren Ringe. </w:t>
      </w:r>
      <w:r w:rsidRPr="008D410D">
        <w:t xml:space="preserve">Damit könnte das Phänomen nun </w:t>
      </w:r>
      <w:r w:rsidR="006A3C4E">
        <w:t xml:space="preserve">erstmals </w:t>
      </w:r>
      <w:r w:rsidRPr="008D410D">
        <w:t>in die Reichweite einer kommerziellen Nutzung für preiswerte optische Strukturen und Beschichtungen kommen.</w:t>
      </w:r>
      <w:r w:rsidR="004E676A">
        <w:t xml:space="preserve"> </w:t>
      </w:r>
      <w:r w:rsidR="00834842">
        <w:tab/>
      </w:r>
      <w:bookmarkStart w:id="0" w:name="_GoBack"/>
      <w:bookmarkEnd w:id="0"/>
    </w:p>
    <w:p w:rsidR="00834842" w:rsidRDefault="00834842" w:rsidP="00834842">
      <w:pPr>
        <w:suppressAutoHyphens/>
        <w:spacing w:before="0" w:after="120" w:line="360" w:lineRule="auto"/>
        <w:rPr>
          <w:bCs/>
          <w:iCs/>
        </w:rPr>
      </w:pPr>
      <w:r>
        <w:rPr>
          <w:rFonts w:eastAsia="Arial"/>
          <w:noProof/>
          <w:lang w:val="de-CH"/>
        </w:rPr>
        <w:drawing>
          <wp:inline distT="0" distB="0" distL="0" distR="0" wp14:anchorId="71A8FAD1" wp14:editId="7AAB172A">
            <wp:extent cx="3129768" cy="2247900"/>
            <wp:effectExtent l="0" t="0" r="0" b="0"/>
            <wp:docPr id="2" name="Grafik 2" descr="G:\NAS\Medien\Empa News\2016\EQ 55\GRAFIK\23 Vermischtes\Liesegang\Liesegang-SEM-FI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S\Medien\Empa News\2016\EQ 55\GRAFIK\23 Vermischtes\Liesegang\Liesegang-SEM-FI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6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CH"/>
        </w:rPr>
        <w:drawing>
          <wp:inline distT="0" distB="0" distL="0" distR="0" wp14:anchorId="10A48E09" wp14:editId="13E9B8C7">
            <wp:extent cx="2434406" cy="2240729"/>
            <wp:effectExtent l="0" t="0" r="4445" b="7620"/>
            <wp:docPr id="3" name="Grafik 3" descr="G:\NAS\Medien\Empa News\2016\EQ 55\GRAFIK\23 Vermischtes\Liesegang\ban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AS\Medien\Empa News\2016\EQ 55\GRAFIK\23 Vermischtes\Liesegang\band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09" cy="22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10D">
        <w:rPr>
          <w:rFonts w:eastAsia="Arial"/>
        </w:rPr>
        <w:br/>
      </w:r>
      <w:r w:rsidR="008D410D" w:rsidRPr="008D410D">
        <w:t xml:space="preserve">Konzentrische </w:t>
      </w:r>
      <w:proofErr w:type="spellStart"/>
      <w:r w:rsidR="008D410D" w:rsidRPr="008D410D">
        <w:t>Liesegang</w:t>
      </w:r>
      <w:proofErr w:type="spellEnd"/>
      <w:r w:rsidR="008D410D">
        <w:t>-R</w:t>
      </w:r>
      <w:r w:rsidR="008D410D" w:rsidRPr="008D410D">
        <w:t>inge, wie sie an der Empa hergestellt w</w:t>
      </w:r>
      <w:r w:rsidR="008D410D">
        <w:t>u</w:t>
      </w:r>
      <w:r>
        <w:t>rden</w:t>
      </w:r>
      <w:r w:rsidRPr="00834842">
        <w:rPr>
          <w:bCs/>
          <w:iCs/>
        </w:rPr>
        <w:t>.</w:t>
      </w:r>
    </w:p>
    <w:p w:rsidR="008D410D" w:rsidRPr="00834842" w:rsidRDefault="00834842" w:rsidP="00834842">
      <w:pPr>
        <w:suppressAutoHyphens/>
        <w:spacing w:before="0" w:after="120" w:line="360" w:lineRule="auto"/>
      </w:pPr>
      <w:r>
        <w:rPr>
          <w:bCs/>
          <w:iCs/>
          <w:noProof/>
          <w:lang w:val="de-CH"/>
        </w:rPr>
        <w:lastRenderedPageBreak/>
        <w:drawing>
          <wp:inline distT="0" distB="0" distL="0" distR="0" wp14:anchorId="41CAF3B2" wp14:editId="21F3BCF2">
            <wp:extent cx="2457450" cy="3555979"/>
            <wp:effectExtent l="0" t="0" r="0" b="6985"/>
            <wp:docPr id="4" name="Grafik 4" descr="G:\NAS\Medien\Empa News\2016\EQ 55\GRAFIK\23 Vermischtes\Liesegang\Liesegang-Fresnel_Lens_at_Point_Arena_Lighthouse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AS\Medien\Empa News\2016\EQ 55\GRAFIK\23 Vermischtes\Liesegang\Liesegang-Fresnel_Lens_at_Point_Arena_Lighthouse_Mu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842">
        <w:rPr>
          <w:bCs/>
          <w:iCs/>
          <w:lang w:val="en-US"/>
        </w:rPr>
        <w:t xml:space="preserve"> Fresnel </w:t>
      </w:r>
      <w:proofErr w:type="gramStart"/>
      <w:r w:rsidRPr="00834842">
        <w:rPr>
          <w:bCs/>
          <w:iCs/>
          <w:lang w:val="en-US"/>
        </w:rPr>
        <w:t>Lens</w:t>
      </w:r>
      <w:proofErr w:type="gramEnd"/>
      <w:r w:rsidRPr="00834842">
        <w:rPr>
          <w:bCs/>
          <w:iCs/>
          <w:lang w:val="en-US"/>
        </w:rPr>
        <w:t xml:space="preserve"> at Point Arena Lighthouse Museum, Point Arena Lighthouse, Mendocino County, California. </w:t>
      </w:r>
      <w:r w:rsidRPr="00834842">
        <w:rPr>
          <w:bCs/>
          <w:iCs/>
        </w:rPr>
        <w:t>Picture: Frank Schulenburg / Wikimedia</w:t>
      </w:r>
    </w:p>
    <w:sectPr w:rsidR="008D410D" w:rsidRPr="00834842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A4" w:rsidRDefault="00997EA4">
      <w:pPr>
        <w:spacing w:before="0" w:after="0" w:line="240" w:lineRule="auto"/>
      </w:pPr>
      <w:r>
        <w:separator/>
      </w:r>
    </w:p>
  </w:endnote>
  <w:endnote w:type="continuationSeparator" w:id="0">
    <w:p w:rsidR="00997EA4" w:rsidRDefault="00997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06" w:rsidRDefault="001F63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A4" w:rsidRDefault="00997EA4">
      <w:pPr>
        <w:spacing w:before="0" w:after="0" w:line="240" w:lineRule="auto"/>
      </w:pPr>
      <w:r>
        <w:separator/>
      </w:r>
    </w:p>
  </w:footnote>
  <w:footnote w:type="continuationSeparator" w:id="0">
    <w:p w:rsidR="00997EA4" w:rsidRDefault="00997E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06" w:rsidRDefault="001F63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306"/>
    <w:rsid w:val="001F6306"/>
    <w:rsid w:val="0024638B"/>
    <w:rsid w:val="00306915"/>
    <w:rsid w:val="004E676A"/>
    <w:rsid w:val="00595F1A"/>
    <w:rsid w:val="00696DAE"/>
    <w:rsid w:val="006A3C4E"/>
    <w:rsid w:val="00834842"/>
    <w:rsid w:val="008D410D"/>
    <w:rsid w:val="00997EA4"/>
    <w:rsid w:val="00A57C66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60" w:after="60" w:line="312" w:lineRule="auto"/>
    </w:pPr>
    <w:rPr>
      <w:rFonts w:ascii="Segoe UI" w:eastAsia="Segoe UI" w:hAnsi="Segoe UI" w:cs="Segoe UI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Strikethrough">
    <w:name w:val="Strikethrough"/>
    <w:rPr>
      <w:strike/>
      <w:dstrike w:val="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Segoe UI" w:eastAsia="Segoe UI" w:hAnsi="Segoe UI" w:cs="Segoe UI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8B"/>
    <w:rPr>
      <w:rFonts w:ascii="Tahoma" w:eastAsia="Segoe UI" w:hAnsi="Tahoma" w:cs="Tahoma"/>
      <w:color w:val="000000"/>
      <w:sz w:val="16"/>
      <w:szCs w:val="16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1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10D"/>
    <w:rPr>
      <w:rFonts w:ascii="Segoe UI" w:eastAsia="Segoe UI" w:hAnsi="Segoe UI" w:cs="Segoe UI"/>
      <w:b/>
      <w:bCs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60" w:after="60" w:line="312" w:lineRule="auto"/>
    </w:pPr>
    <w:rPr>
      <w:rFonts w:ascii="Segoe UI" w:eastAsia="Segoe UI" w:hAnsi="Segoe UI" w:cs="Segoe UI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Strikethrough">
    <w:name w:val="Strikethrough"/>
    <w:rPr>
      <w:strike/>
      <w:dstrike w:val="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Segoe UI" w:eastAsia="Segoe UI" w:hAnsi="Segoe UI" w:cs="Segoe UI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8B"/>
    <w:rPr>
      <w:rFonts w:ascii="Tahoma" w:eastAsia="Segoe UI" w:hAnsi="Tahoma" w:cs="Tahoma"/>
      <w:color w:val="000000"/>
      <w:sz w:val="16"/>
      <w:szCs w:val="16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1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10D"/>
    <w:rPr>
      <w:rFonts w:ascii="Segoe UI" w:eastAsia="Segoe UI" w:hAnsi="Segoe UI" w:cs="Segoe UI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Empa_Word">
  <a:themeElements>
    <a:clrScheme name="Empa_Wor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0000FF"/>
      </a:hlink>
      <a:folHlink>
        <a:srgbClr val="FF00FF"/>
      </a:folHlink>
    </a:clrScheme>
    <a:fontScheme name="Empa_Word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Empa_Wo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goe UI"/>
            <a:ea typeface="Segoe UI"/>
            <a:cs typeface="Segoe UI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goe UI"/>
            <a:ea typeface="Segoe UI"/>
            <a:cs typeface="Segoe UI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Rainer</dc:creator>
  <cp:lastModifiedBy>Klose, Rainer</cp:lastModifiedBy>
  <cp:revision>5</cp:revision>
  <dcterms:created xsi:type="dcterms:W3CDTF">2016-11-30T16:18:00Z</dcterms:created>
  <dcterms:modified xsi:type="dcterms:W3CDTF">2016-12-01T12:33:00Z</dcterms:modified>
</cp:coreProperties>
</file>